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FC23" w14:textId="3E1E1027" w:rsidR="005E71C4" w:rsidRPr="00AB28EB" w:rsidRDefault="005E71C4" w:rsidP="005E71C4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46AD82D6" w14:textId="77777777" w:rsidR="005E71C4" w:rsidRPr="00E5018E" w:rsidRDefault="005E71C4" w:rsidP="005E71C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812775" w14:textId="77777777" w:rsidR="005E71C4" w:rsidRDefault="005E71C4" w:rsidP="005E71C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37391" w14:textId="77777777" w:rsidR="005E71C4" w:rsidRPr="00541C46" w:rsidRDefault="005E71C4" w:rsidP="005E71C4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5D056721" w14:textId="77777777" w:rsidR="005E71C4" w:rsidRDefault="005E71C4" w:rsidP="005E71C4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33523495" w14:textId="77777777" w:rsidR="005E71C4" w:rsidRDefault="005E71C4" w:rsidP="005E71C4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73B7F890" w14:textId="77777777" w:rsidR="005E71C4" w:rsidRDefault="005E71C4" w:rsidP="005E71C4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73C7B49B" w14:textId="77777777" w:rsidR="005E71C4" w:rsidRPr="00541C46" w:rsidRDefault="005E71C4" w:rsidP="005E71C4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22.03.2021</w:t>
      </w:r>
      <w:r w:rsidRPr="00541C46">
        <w:rPr>
          <w:rStyle w:val="rvts15"/>
        </w:rPr>
        <w:t xml:space="preserve"> року</w:t>
      </w:r>
    </w:p>
    <w:p w14:paraId="4F6887BB" w14:textId="77777777" w:rsidR="005E71C4" w:rsidRPr="00541C46" w:rsidRDefault="005E71C4" w:rsidP="005E71C4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>
        <w:rPr>
          <w:rStyle w:val="rvts15"/>
        </w:rPr>
        <w:t>25</w:t>
      </w:r>
      <w:r w:rsidRPr="00541C46">
        <w:rPr>
          <w:rStyle w:val="rvts15"/>
        </w:rPr>
        <w:t>-к-од</w:t>
      </w:r>
    </w:p>
    <w:p w14:paraId="782C00A6" w14:textId="77777777" w:rsidR="005E71C4" w:rsidRPr="00E5018E" w:rsidRDefault="005E71C4" w:rsidP="005E71C4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1D9D7" w14:textId="77777777" w:rsidR="005E71C4" w:rsidRPr="00541C46" w:rsidRDefault="005E71C4" w:rsidP="005E71C4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6CAED88E" w14:textId="77777777" w:rsidR="005E71C4" w:rsidRPr="00541C46" w:rsidRDefault="005E71C4" w:rsidP="005E71C4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0AB6BC6C" w14:textId="225E86F4" w:rsidR="005E71C4" w:rsidRPr="00AB28EB" w:rsidRDefault="005E71C4" w:rsidP="005E71C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1F672007" w14:textId="77777777" w:rsidR="005E71C4" w:rsidRDefault="005E71C4" w:rsidP="005E71C4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>(Одеська область,  м. Біляївка, вул. Кіпенко,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1F6C0FDD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7036D9C8" w:rsidR="004955DC" w:rsidRPr="00E5018E" w:rsidRDefault="00E86D88" w:rsidP="004955DC">
            <w:pPr>
              <w:pStyle w:val="ac"/>
              <w:spacing w:before="0" w:beforeAutospacing="0" w:after="0" w:afterAutospacing="0"/>
              <w:ind w:firstLine="15"/>
              <w:jc w:val="both"/>
            </w:pPr>
            <w:r w:rsidRPr="00E5018E">
              <w:rPr>
                <w:lang w:val="uk-UA"/>
              </w:rPr>
              <w:t xml:space="preserve"> </w:t>
            </w:r>
            <w:r w:rsidR="004955DC">
              <w:rPr>
                <w:lang w:val="uk-UA"/>
              </w:rPr>
              <w:t>1.</w:t>
            </w:r>
            <w:r w:rsidR="004955DC">
              <w:rPr>
                <w:noProof/>
              </w:rPr>
              <w:t>Забезпеч</w:t>
            </w:r>
            <w:r w:rsidR="004955DC">
              <w:rPr>
                <w:noProof/>
                <w:lang w:val="uk-UA"/>
              </w:rPr>
              <w:t>ує</w:t>
            </w:r>
            <w:r w:rsidR="004955DC">
              <w:rPr>
                <w:noProof/>
              </w:rPr>
              <w:t xml:space="preserve"> повн</w:t>
            </w:r>
            <w:r w:rsidR="004955DC">
              <w:rPr>
                <w:noProof/>
                <w:lang w:val="uk-UA"/>
              </w:rPr>
              <w:t>е</w:t>
            </w:r>
            <w:r w:rsidR="004955DC">
              <w:rPr>
                <w:noProof/>
              </w:rPr>
              <w:t xml:space="preserve"> та своєчасн</w:t>
            </w:r>
            <w:r w:rsidR="004955DC">
              <w:rPr>
                <w:noProof/>
                <w:lang w:val="uk-UA"/>
              </w:rPr>
              <w:t>е</w:t>
            </w:r>
            <w:r w:rsidR="004955DC">
              <w:rPr>
                <w:noProof/>
              </w:rPr>
              <w:t xml:space="preserve"> заповнення обліково-статистичних карток,  в автоматизованій системі документообігу суду, розгляд яких передбачено кримінально-процесуальним законодавством</w:t>
            </w:r>
            <w:r w:rsidR="004955DC">
              <w:rPr>
                <w:noProof/>
                <w:lang w:val="uk-UA"/>
              </w:rPr>
              <w:t xml:space="preserve">, </w:t>
            </w:r>
            <w:r w:rsidR="004955DC" w:rsidRPr="00317E4C">
              <w:rPr>
                <w:noProof/>
              </w:rPr>
              <w:t>адміністративним процесуальним законодавством</w:t>
            </w:r>
            <w:r w:rsidR="004955DC">
              <w:rPr>
                <w:noProof/>
                <w:lang w:val="uk-UA"/>
              </w:rPr>
              <w:t xml:space="preserve">, </w:t>
            </w:r>
            <w:r w:rsidR="004955DC" w:rsidRPr="00317E4C">
              <w:rPr>
                <w:noProof/>
              </w:rPr>
              <w:t>цивільним процесуальним законодавством</w:t>
            </w:r>
            <w:r w:rsidR="004955DC">
              <w:rPr>
                <w:noProof/>
              </w:rPr>
              <w:t xml:space="preserve"> та Кодексом про адміністративні правопорушення</w:t>
            </w:r>
            <w:r w:rsidR="004955DC">
              <w:rPr>
                <w:noProof/>
                <w:lang w:val="uk-UA"/>
              </w:rPr>
              <w:t>.</w:t>
            </w:r>
          </w:p>
          <w:p w14:paraId="032EF955" w14:textId="77777777" w:rsidR="00F915EF" w:rsidRDefault="004955D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B51FEE">
              <w:rPr>
                <w:lang w:val="uk-UA"/>
              </w:rPr>
              <w:t>Проводить</w:t>
            </w:r>
            <w:r w:rsidRPr="00B51FEE">
              <w:t xml:space="preserve"> роботу </w:t>
            </w:r>
            <w:r w:rsidRPr="00B51FEE">
              <w:rPr>
                <w:lang w:val="uk-UA"/>
              </w:rPr>
              <w:t>зі</w:t>
            </w:r>
            <w:r w:rsidRPr="00B51FEE">
              <w:t xml:space="preserve"> звернення судових рішень до виконання, контролює одержання повідомлень про їх виконання та забезпечує своєчасне приєднання до судових справ</w:t>
            </w:r>
            <w:r w:rsidRPr="00B51FEE">
              <w:rPr>
                <w:lang w:val="uk-UA"/>
              </w:rPr>
              <w:t xml:space="preserve"> (кримінальних проваджень)</w:t>
            </w:r>
            <w:r w:rsidRPr="00B51FEE">
              <w:t>.</w:t>
            </w:r>
          </w:p>
          <w:p w14:paraId="5C2AB0C7" w14:textId="77777777" w:rsidR="004955DC" w:rsidRDefault="004955D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lang w:val="uk-UA"/>
              </w:rPr>
              <w:t>3.</w:t>
            </w:r>
            <w:r w:rsidRPr="003A46D7">
              <w:rPr>
                <w:lang w:val="uk-UA"/>
              </w:rPr>
              <w:t>Здійснює облік виконавчих документів</w:t>
            </w:r>
            <w:r>
              <w:rPr>
                <w:lang w:val="uk-UA"/>
              </w:rPr>
              <w:t>, я</w:t>
            </w:r>
            <w:r w:rsidRPr="003A46D7">
              <w:rPr>
                <w:noProof/>
                <w:lang w:val="uk-UA"/>
              </w:rPr>
              <w:t>кі передаються для звернення до виконання, контролює надходження від органі</w:t>
            </w:r>
            <w:r>
              <w:rPr>
                <w:noProof/>
                <w:lang w:val="uk-UA"/>
              </w:rPr>
              <w:t>в</w:t>
            </w:r>
            <w:r w:rsidRPr="003A46D7">
              <w:rPr>
                <w:noProof/>
                <w:lang w:val="uk-UA"/>
              </w:rPr>
              <w:t xml:space="preserve">, що виконують судові рішення, розгляд яких передбачено кримінально- процесуальним </w:t>
            </w:r>
            <w:r>
              <w:rPr>
                <w:noProof/>
              </w:rPr>
              <w:t>законодавством</w:t>
            </w:r>
            <w:r>
              <w:rPr>
                <w:noProof/>
                <w:lang w:val="uk-UA"/>
              </w:rPr>
              <w:t xml:space="preserve">, </w:t>
            </w:r>
            <w:r w:rsidRPr="00317E4C">
              <w:rPr>
                <w:noProof/>
              </w:rPr>
              <w:t>адміністративним процесуальним законодавством</w:t>
            </w:r>
            <w:r>
              <w:rPr>
                <w:noProof/>
                <w:lang w:val="uk-UA"/>
              </w:rPr>
              <w:t xml:space="preserve">, </w:t>
            </w:r>
            <w:r w:rsidRPr="00317E4C">
              <w:rPr>
                <w:noProof/>
              </w:rPr>
              <w:t>цивільним процесуальним законодавством</w:t>
            </w:r>
            <w:r>
              <w:rPr>
                <w:noProof/>
              </w:rPr>
              <w:t xml:space="preserve"> та Кодексом про адміністративні правопорушення</w:t>
            </w:r>
            <w:r>
              <w:rPr>
                <w:noProof/>
                <w:lang w:val="uk-UA"/>
              </w:rPr>
              <w:t>.</w:t>
            </w:r>
          </w:p>
          <w:p w14:paraId="571865EF" w14:textId="77777777" w:rsidR="004955DC" w:rsidRDefault="004955D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B51FEE">
              <w:t>Забезпечує зберігання судових справ</w:t>
            </w:r>
            <w:r w:rsidRPr="00B51FEE">
              <w:rPr>
                <w:lang w:val="uk-UA"/>
              </w:rPr>
              <w:t xml:space="preserve"> (кримінальних проваджень) </w:t>
            </w:r>
            <w:r w:rsidRPr="00B51FEE">
              <w:t xml:space="preserve"> та інших матеріалів.</w:t>
            </w:r>
          </w:p>
          <w:p w14:paraId="4D7E8E4D" w14:textId="77777777" w:rsidR="004955DC" w:rsidRDefault="004955D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B51FEE">
              <w:t>Складає за встановленими формами статистичні звіти про результати розгляду судових справ</w:t>
            </w:r>
            <w:r w:rsidRPr="00B51FEE">
              <w:rPr>
                <w:lang w:val="uk-UA"/>
              </w:rPr>
              <w:t xml:space="preserve"> (кримінальних проваджень), здійснює підготовку іншої статистичної інформації, необхідної в діяльності суду.</w:t>
            </w:r>
          </w:p>
          <w:p w14:paraId="41D6CAD7" w14:textId="22C0A069" w:rsidR="004955DC" w:rsidRDefault="004955D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lang w:val="uk-UA"/>
              </w:rPr>
              <w:t>6.</w:t>
            </w:r>
            <w:r w:rsidRPr="00B51FEE">
              <w:t xml:space="preserve">Здійснює підготовку </w:t>
            </w:r>
            <w:r>
              <w:rPr>
                <w:noProof/>
              </w:rPr>
              <w:t>судових справ, розгляд яких передбачено кримінально-процесуальним законодавством</w:t>
            </w:r>
            <w:r>
              <w:rPr>
                <w:noProof/>
                <w:lang w:val="uk-UA"/>
              </w:rPr>
              <w:t xml:space="preserve">, </w:t>
            </w:r>
            <w:r w:rsidRPr="00317E4C">
              <w:rPr>
                <w:noProof/>
              </w:rPr>
              <w:t>адміністративним процесуальним законодавством</w:t>
            </w:r>
            <w:r>
              <w:rPr>
                <w:noProof/>
                <w:lang w:val="uk-UA"/>
              </w:rPr>
              <w:t xml:space="preserve">, </w:t>
            </w:r>
            <w:r w:rsidRPr="00317E4C">
              <w:rPr>
                <w:noProof/>
              </w:rPr>
              <w:t>цивільним процесуальним законодавством</w:t>
            </w:r>
            <w:r>
              <w:rPr>
                <w:noProof/>
              </w:rPr>
              <w:t xml:space="preserve"> та Кодексом про адміністративні правопорушення із скаргами, поданнями для направлення до судів вищих інстанцій</w:t>
            </w:r>
            <w:r>
              <w:rPr>
                <w:noProof/>
                <w:lang w:val="uk-UA"/>
              </w:rPr>
              <w:t>.</w:t>
            </w:r>
          </w:p>
          <w:p w14:paraId="1E091019" w14:textId="77777777" w:rsidR="004955DC" w:rsidRDefault="004955D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7.Здійснює </w:t>
            </w:r>
            <w:r w:rsidRPr="00B51FEE">
              <w:rPr>
                <w:lang w:val="uk-UA"/>
              </w:rPr>
              <w:t>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законодавства. Засвідчує копі</w:t>
            </w:r>
            <w:r>
              <w:rPr>
                <w:lang w:val="uk-UA"/>
              </w:rPr>
              <w:t>ї</w:t>
            </w:r>
            <w:r w:rsidRPr="00B51FEE">
              <w:rPr>
                <w:lang w:val="uk-UA"/>
              </w:rPr>
              <w:t xml:space="preserve"> судових рішень (документів) </w:t>
            </w:r>
            <w:r w:rsidRPr="00B51FEE">
              <w:rPr>
                <w:lang w:val="uk-UA"/>
              </w:rPr>
              <w:lastRenderedPageBreak/>
              <w:t>у судових справах (кримінальних провадженнях), які передані до канцелярії суду після розгляду справи (кримінального провадження) суддею</w:t>
            </w:r>
            <w:r>
              <w:rPr>
                <w:lang w:val="uk-UA"/>
              </w:rPr>
              <w:t>.</w:t>
            </w:r>
          </w:p>
          <w:p w14:paraId="01B24066" w14:textId="2E5D2E72" w:rsidR="004955DC" w:rsidRDefault="004955D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B51FEE">
              <w:t xml:space="preserve">Здійснює своєчасне внесення до автоматизованої системи </w:t>
            </w:r>
            <w:r w:rsidRPr="00B51FEE">
              <w:rPr>
                <w:lang w:val="uk-UA"/>
              </w:rPr>
              <w:t xml:space="preserve">документообігу суду </w:t>
            </w:r>
            <w:r w:rsidRPr="00B51FEE">
              <w:t xml:space="preserve">відомостей про набрання судовим рішенням законної сили </w:t>
            </w:r>
            <w:r w:rsidRPr="00B51FEE">
              <w:rPr>
                <w:lang w:val="uk-UA"/>
              </w:rPr>
              <w:t xml:space="preserve">після передачі справи до канцелярії суду </w:t>
            </w:r>
            <w:r w:rsidRPr="00B51FEE">
              <w:t>та направлення таких відомостей до Єдиного Державного реєстру судових рішень»</w:t>
            </w:r>
            <w:r>
              <w:t xml:space="preserve">. </w:t>
            </w:r>
            <w:r w:rsidRPr="00C4336C">
              <w:t xml:space="preserve">Здійснити в комп’ютерній програмі «Д-3» </w:t>
            </w:r>
            <w:r>
              <w:t xml:space="preserve">обов’язкове заповнення в </w:t>
            </w:r>
            <w:r w:rsidRPr="00C4336C">
              <w:t>обліково-статистичних карт</w:t>
            </w:r>
            <w:r>
              <w:t>ках  даних по всіх формах судочинства справ, які підлягають знищенню</w:t>
            </w:r>
            <w:r>
              <w:rPr>
                <w:lang w:val="uk-UA"/>
              </w:rPr>
              <w:t>.</w:t>
            </w:r>
          </w:p>
          <w:p w14:paraId="37FBEAE6" w14:textId="77777777" w:rsidR="004955DC" w:rsidRDefault="004955D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B51FEE">
              <w:t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</w:t>
            </w:r>
            <w:r w:rsidRPr="00B51FEE">
              <w:rPr>
                <w:lang w:val="uk-UA"/>
              </w:rPr>
              <w:t>.</w:t>
            </w:r>
          </w:p>
          <w:p w14:paraId="51197E8C" w14:textId="345DD80A" w:rsidR="004955DC" w:rsidRPr="004955DC" w:rsidRDefault="004955D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52632E">
              <w:rPr>
                <w:lang w:val="uk-UA"/>
              </w:rPr>
              <w:t>Виконує доручення голови суду, керівника апарату суду щодо організації роботи канцелярії суду</w:t>
            </w:r>
            <w:r w:rsidRPr="00B51FEE">
              <w:rPr>
                <w:lang w:val="uk-UA"/>
              </w:rPr>
              <w:t>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суду</w:t>
            </w:r>
            <w:r>
              <w:rPr>
                <w:lang w:val="uk-UA"/>
              </w:rPr>
              <w:t>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68305F30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44209C03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посадовий оклад </w:t>
            </w:r>
            <w:r w:rsidR="00741DC2" w:rsidRPr="008A322A">
              <w:rPr>
                <w:rFonts w:ascii="Times New Roman" w:hAnsi="Times New Roman"/>
                <w:sz w:val="24"/>
                <w:szCs w:val="24"/>
              </w:rPr>
              <w:t>4</w:t>
            </w:r>
            <w:r w:rsidR="008A322A">
              <w:rPr>
                <w:rFonts w:ascii="Times New Roman" w:hAnsi="Times New Roman"/>
                <w:sz w:val="24"/>
                <w:szCs w:val="24"/>
                <w:lang w:val="uk-UA"/>
              </w:rPr>
              <w:t>394</w:t>
            </w:r>
            <w:r w:rsidRPr="008A322A">
              <w:rPr>
                <w:rFonts w:ascii="Times New Roman" w:hAnsi="Times New Roman"/>
                <w:sz w:val="24"/>
                <w:szCs w:val="24"/>
              </w:rPr>
              <w:t>рн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79C48B3A" w:rsidR="00004C0D" w:rsidRPr="00503C32" w:rsidRDefault="004955DC" w:rsidP="004955D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Бестроково 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734BE913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00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березня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9BF82" w14:textId="24EED37B" w:rsidR="005E71C4" w:rsidRDefault="005E71C4" w:rsidP="005E71C4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квітня 2021 року о </w:t>
            </w:r>
            <w:r w:rsidR="00CB7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годині </w:t>
            </w:r>
            <w:r w:rsidR="00CB7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42A49839" w14:textId="77777777" w:rsidR="005E71C4" w:rsidRDefault="005E71C4" w:rsidP="005E71C4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8CD0" w14:textId="77777777" w:rsidR="005E71C4" w:rsidRDefault="005E71C4" w:rsidP="005E71C4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517204AA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Цапок Наталія Вікторівна</w:t>
            </w:r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CB7C5D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CB7C5D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стресостійкість;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3CCAC2B5" w:rsidR="009A5CB4" w:rsidRPr="00D84ABC" w:rsidRDefault="009A5CB4" w:rsidP="00D84ABC">
            <w:pPr>
              <w:pStyle w:val="af0"/>
              <w:numPr>
                <w:ilvl w:val="0"/>
                <w:numId w:val="3"/>
              </w:numPr>
              <w:tabs>
                <w:tab w:val="left" w:pos="559"/>
              </w:tabs>
              <w:spacing w:after="0" w:line="240" w:lineRule="auto"/>
              <w:ind w:left="0" w:right="125" w:firstLine="36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D84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Power Point, Outlook Express, Internet).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49B188CB" w:rsidR="00004C0D" w:rsidRPr="00E5018E" w:rsidRDefault="00004C0D" w:rsidP="00D84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D714" w14:textId="77777777" w:rsidR="000F76C3" w:rsidRDefault="000F76C3">
      <w:pPr>
        <w:spacing w:after="0" w:line="240" w:lineRule="auto"/>
      </w:pPr>
      <w:r>
        <w:separator/>
      </w:r>
    </w:p>
  </w:endnote>
  <w:endnote w:type="continuationSeparator" w:id="0">
    <w:p w14:paraId="002F4471" w14:textId="77777777" w:rsidR="000F76C3" w:rsidRDefault="000F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8D40" w14:textId="77777777" w:rsidR="000F76C3" w:rsidRDefault="000F76C3">
      <w:pPr>
        <w:spacing w:after="0" w:line="240" w:lineRule="auto"/>
      </w:pPr>
      <w:r>
        <w:separator/>
      </w:r>
    </w:p>
  </w:footnote>
  <w:footnote w:type="continuationSeparator" w:id="0">
    <w:p w14:paraId="09087B2B" w14:textId="77777777" w:rsidR="000F76C3" w:rsidRDefault="000F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5512E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1C4E7955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B6C4C"/>
    <w:rsid w:val="000C7D2B"/>
    <w:rsid w:val="000F76C3"/>
    <w:rsid w:val="001A422F"/>
    <w:rsid w:val="001D4762"/>
    <w:rsid w:val="001F77AA"/>
    <w:rsid w:val="002A6E8B"/>
    <w:rsid w:val="00444CBA"/>
    <w:rsid w:val="00463CB4"/>
    <w:rsid w:val="004955DC"/>
    <w:rsid w:val="00503C32"/>
    <w:rsid w:val="00586FFB"/>
    <w:rsid w:val="005C5D0B"/>
    <w:rsid w:val="005E71C4"/>
    <w:rsid w:val="006044BB"/>
    <w:rsid w:val="00611195"/>
    <w:rsid w:val="006C2852"/>
    <w:rsid w:val="0072779E"/>
    <w:rsid w:val="00741DC2"/>
    <w:rsid w:val="00894D8B"/>
    <w:rsid w:val="008A322A"/>
    <w:rsid w:val="0094664F"/>
    <w:rsid w:val="00980352"/>
    <w:rsid w:val="009A5CB4"/>
    <w:rsid w:val="009C2EB7"/>
    <w:rsid w:val="009E63B4"/>
    <w:rsid w:val="00AD19EC"/>
    <w:rsid w:val="00AD3E96"/>
    <w:rsid w:val="00AD58DB"/>
    <w:rsid w:val="00AE50E7"/>
    <w:rsid w:val="00B44982"/>
    <w:rsid w:val="00B5512E"/>
    <w:rsid w:val="00BA6BF3"/>
    <w:rsid w:val="00BB3E99"/>
    <w:rsid w:val="00C34BA2"/>
    <w:rsid w:val="00C8176B"/>
    <w:rsid w:val="00CB7C5D"/>
    <w:rsid w:val="00CC4A68"/>
    <w:rsid w:val="00CE17A3"/>
    <w:rsid w:val="00CF6400"/>
    <w:rsid w:val="00D84ABC"/>
    <w:rsid w:val="00DC0678"/>
    <w:rsid w:val="00DD070C"/>
    <w:rsid w:val="00E5018E"/>
    <w:rsid w:val="00E86D88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B0FDE69D-0B7E-4DE1-B0C2-0D6192B8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5E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E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Ірина Тимченко</dc:creator>
  <cp:lastModifiedBy>Зала №1</cp:lastModifiedBy>
  <cp:revision>6</cp:revision>
  <cp:lastPrinted>2021-02-23T13:38:00Z</cp:lastPrinted>
  <dcterms:created xsi:type="dcterms:W3CDTF">2021-03-22T13:06:00Z</dcterms:created>
  <dcterms:modified xsi:type="dcterms:W3CDTF">2021-03-22T16:11:00Z</dcterms:modified>
</cp:coreProperties>
</file>